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404040"/>
          <w:sz w:val="20"/>
          <w:szCs w:val="20"/>
          <w:highlight w:val="yellow"/>
          <w:u w:val="none"/>
          <w:vertAlign w:val="baseline"/>
        </w:rPr>
      </w:pPr>
      <w:r w:rsidDel="00000000" w:rsidR="00000000" w:rsidRPr="00000000">
        <w:rPr>
          <w:rFonts w:ascii="Arial" w:cs="Arial" w:eastAsia="Arial" w:hAnsi="Arial"/>
          <w:color w:val="404040"/>
          <w:sz w:val="20"/>
          <w:szCs w:val="20"/>
          <w:highlight w:val="yellow"/>
        </w:rPr>
        <mc:AlternateContent>
          <mc:Choice Requires="wpg">
            <w:drawing>
              <wp:anchor allowOverlap="1" behindDoc="0" distB="0" distT="0" distL="114300" distR="114300" hidden="0" layoutInCell="1" locked="0" relativeHeight="0" simplePos="0">
                <wp:simplePos x="0" y="0"/>
                <wp:positionH relativeFrom="page">
                  <wp:posOffset>5868035</wp:posOffset>
                </wp:positionH>
                <wp:positionV relativeFrom="page">
                  <wp:posOffset>234315</wp:posOffset>
                </wp:positionV>
                <wp:extent cx="1313180" cy="1150371"/>
                <wp:effectExtent b="0" l="0" r="0" t="0"/>
                <wp:wrapNone/>
                <wp:docPr id="1" name=""/>
                <a:graphic>
                  <a:graphicData uri="http://schemas.microsoft.com/office/word/2010/wordprocessingGroup">
                    <wpg:wgp>
                      <wpg:cNvGrpSpPr/>
                      <wpg:grpSpPr>
                        <a:xfrm>
                          <a:off x="173600" y="205425"/>
                          <a:ext cx="1313180" cy="1150371"/>
                          <a:chOff x="173600" y="205425"/>
                          <a:chExt cx="5824250" cy="5098150"/>
                        </a:xfrm>
                      </wpg:grpSpPr>
                      <wps:wsp>
                        <wps:cNvSpPr/>
                        <wps:cNvPr id="2" name="Shape 2"/>
                        <wps:spPr>
                          <a:xfrm>
                            <a:off x="4694173" y="3277398"/>
                            <a:ext cx="1303655" cy="1005205"/>
                          </a:xfrm>
                          <a:prstGeom prst="rect">
                            <a:avLst/>
                          </a:prstGeom>
                          <a:noFill/>
                          <a:ln>
                            <a:noFill/>
                          </a:ln>
                        </wps:spPr>
                        <wps:txbx>
                          <w:txbxContent>
                            <w:p w:rsidR="00000000" w:rsidDel="00000000" w:rsidP="00000000" w:rsidRDefault="00000000" w:rsidRPr="00000000">
                              <w:pPr>
                                <w:spacing w:after="40" w:before="40" w:line="240"/>
                                <w:ind w:left="0" w:right="0" w:firstLine="0"/>
                                <w:jc w:val="center"/>
                                <w:textDirection w:val="btLr"/>
                              </w:pPr>
                            </w:p>
                            <w:p w:rsidR="00000000" w:rsidDel="00000000" w:rsidP="00000000" w:rsidRDefault="00000000" w:rsidRPr="00000000">
                              <w:pPr>
                                <w:spacing w:after="40" w:before="40" w:line="240"/>
                                <w:ind w:left="0" w:right="0" w:firstLine="0"/>
                                <w:jc w:val="center"/>
                                <w:textDirection w:val="btLr"/>
                              </w:pPr>
                              <w:r w:rsidDel="00000000" w:rsidR="00000000" w:rsidRPr="00000000">
                                <w:rPr>
                                  <w:rFonts w:ascii="Calibri" w:cs="Calibri" w:eastAsia="Calibri" w:hAnsi="Calibri"/>
                                  <w:b w:val="0"/>
                                  <w:i w:val="0"/>
                                  <w:smallCaps w:val="0"/>
                                  <w:strike w:val="0"/>
                                  <w:color w:val="ff0000"/>
                                  <w:sz w:val="22"/>
                                  <w:vertAlign w:val="baseline"/>
                                </w:rPr>
                              </w:r>
                            </w:p>
                          </w:txbxContent>
                        </wps:txbx>
                        <wps:bodyPr anchorCtr="0" anchor="ctr" bIns="0" lIns="0" spcFirstLastPara="1" rIns="0" wrap="square" tIns="0">
                          <a:noAutofit/>
                        </wps:bodyPr>
                      </wps:wsp>
                      <pic:pic>
                        <pic:nvPicPr>
                          <pic:cNvPr id="3" name="Shape 3"/>
                          <pic:cNvPicPr preferRelativeResize="0"/>
                        </pic:nvPicPr>
                        <pic:blipFill>
                          <a:blip r:embed="rId6">
                            <a:alphaModFix/>
                          </a:blip>
                          <a:stretch>
                            <a:fillRect/>
                          </a:stretch>
                        </pic:blipFill>
                        <pic:spPr>
                          <a:xfrm>
                            <a:off x="173600" y="205425"/>
                            <a:ext cx="5098148" cy="5098148"/>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5868035</wp:posOffset>
                </wp:positionH>
                <wp:positionV relativeFrom="page">
                  <wp:posOffset>234315</wp:posOffset>
                </wp:positionV>
                <wp:extent cx="1313180" cy="1150371"/>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313180" cy="1150371"/>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-969009</wp:posOffset>
            </wp:positionH>
            <wp:positionV relativeFrom="paragraph">
              <wp:posOffset>-688974</wp:posOffset>
            </wp:positionV>
            <wp:extent cx="7599045" cy="1609090"/>
            <wp:effectExtent b="0" l="0" r="0" t="0"/>
            <wp:wrapNone/>
            <wp:docPr descr="Shape&#10;&#10;Description automatically generated with low confidence" id="3" name="image1.png"/>
            <a:graphic>
              <a:graphicData uri="http://schemas.openxmlformats.org/drawingml/2006/picture">
                <pic:pic>
                  <pic:nvPicPr>
                    <pic:cNvPr descr="Shape&#10;&#10;Description automatically generated with low confidence" id="0" name="image1.png"/>
                    <pic:cNvPicPr preferRelativeResize="0"/>
                  </pic:nvPicPr>
                  <pic:blipFill>
                    <a:blip r:embed="rId8"/>
                    <a:srcRect b="0" l="0" r="0" t="0"/>
                    <a:stretch>
                      <a:fillRect/>
                    </a:stretch>
                  </pic:blipFill>
                  <pic:spPr>
                    <a:xfrm>
                      <a:off x="0" y="0"/>
                      <a:ext cx="7599045" cy="16090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4291330" cy="806967"/>
                <wp:effectExtent b="0" l="0" r="0" t="0"/>
                <wp:wrapNone/>
                <wp:docPr id="2" name=""/>
                <a:graphic>
                  <a:graphicData uri="http://schemas.microsoft.com/office/word/2010/wordprocessingShape">
                    <wps:wsp>
                      <wps:cNvSpPr/>
                      <wps:cNvPr id="4" name="Shape 4"/>
                      <wps:spPr>
                        <a:xfrm>
                          <a:off x="3205098" y="3381279"/>
                          <a:ext cx="4281805" cy="797442"/>
                        </a:xfrm>
                        <a:prstGeom prst="rect">
                          <a:avLst/>
                        </a:prstGeom>
                        <a:noFill/>
                        <a:ln>
                          <a:noFill/>
                        </a:ln>
                      </wps:spPr>
                      <wps:txbx>
                        <w:txbxContent>
                          <w:p w:rsidR="00000000" w:rsidDel="00000000" w:rsidP="00000000" w:rsidRDefault="00000000" w:rsidRPr="00000000">
                            <w:pPr>
                              <w:spacing w:after="60" w:before="200" w:line="240"/>
                              <w:ind w:left="0" w:right="0" w:firstLine="0"/>
                              <w:jc w:val="left"/>
                              <w:textDirection w:val="btLr"/>
                            </w:pPr>
                            <w:r w:rsidDel="00000000" w:rsidR="00000000" w:rsidRPr="00000000">
                              <w:rPr>
                                <w:rFonts w:ascii="Arial" w:cs="Arial" w:eastAsia="Arial" w:hAnsi="Arial"/>
                                <w:b w:val="0"/>
                                <w:i w:val="0"/>
                                <w:smallCaps w:val="0"/>
                                <w:strike w:val="0"/>
                                <w:color w:val="ffdf00"/>
                                <w:sz w:val="36"/>
                                <w:vertAlign w:val="baseline"/>
                              </w:rPr>
                              <w:t xml:space="preserve">Our Lady Star of the Sea Enrolment Policy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4291330" cy="806967"/>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291330" cy="806967"/>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1"/>
          <w:smallCaps w:val="0"/>
          <w:strike w:val="0"/>
          <w:color w:val="404040"/>
          <w:sz w:val="20"/>
          <w:szCs w:val="20"/>
          <w:highlight w:val="yellow"/>
          <w:u w:val="non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1"/>
          <w:smallCaps w:val="0"/>
          <w:strike w:val="0"/>
          <w:color w:val="404040"/>
          <w:sz w:val="20"/>
          <w:szCs w:val="20"/>
          <w:highlight w:val="yellow"/>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404040"/>
          <w:sz w:val="20"/>
          <w:szCs w:val="20"/>
          <w:highlight w:val="yellow"/>
          <w:u w:val="none"/>
          <w:vertAlign w:val="baseline"/>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Introduction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Our Lady Star of the Sea is a school which operates with the consent of the Catholic Archbishop of Melbourne and is owned, operated, and governed by Melbourne Archdiocese Catholic Schools Ltd (MACS).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As a MACS school: </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prayer and liturgy are vital aspects of religious life in our school</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pastoral care and support programs for students, families and staff are based on the teachings of the Catholic Church</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teachings and values of the Catholic Church are paramount.</w:t>
      </w:r>
    </w:p>
    <w:p w:rsidR="00000000" w:rsidDel="00000000" w:rsidP="00000000" w:rsidRDefault="00000000" w:rsidRPr="00000000" w14:paraId="0000000C">
      <w:pPr>
        <w:pStyle w:val="Heading2"/>
        <w:rPr/>
      </w:pPr>
      <w:r w:rsidDel="00000000" w:rsidR="00000000" w:rsidRPr="00000000">
        <w:rPr>
          <w:rtl w:val="0"/>
        </w:rPr>
        <w:t xml:space="preserve">Purpose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This policy sets out the requirements for enrolment in our school in line with the Enrolment Policy for MACS schools.</w:t>
      </w:r>
    </w:p>
    <w:p w:rsidR="00000000" w:rsidDel="00000000" w:rsidP="00000000" w:rsidRDefault="00000000" w:rsidRPr="00000000" w14:paraId="0000000E">
      <w:pPr>
        <w:pStyle w:val="Heading2"/>
        <w:rPr/>
      </w:pPr>
      <w:r w:rsidDel="00000000" w:rsidR="00000000" w:rsidRPr="00000000">
        <w:rPr>
          <w:rtl w:val="0"/>
        </w:rPr>
        <w:t xml:space="preserve">Scope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This policy applies to all families seeking to enrol students at Our Lady Star of the Sea.</w:t>
      </w:r>
    </w:p>
    <w:p w:rsidR="00000000" w:rsidDel="00000000" w:rsidP="00000000" w:rsidRDefault="00000000" w:rsidRPr="00000000" w14:paraId="00000010">
      <w:pPr>
        <w:pStyle w:val="Heading2"/>
        <w:rPr/>
      </w:pPr>
      <w:r w:rsidDel="00000000" w:rsidR="00000000" w:rsidRPr="00000000">
        <w:rPr>
          <w:rtl w:val="0"/>
        </w:rPr>
        <w:t xml:space="preserve">Principles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following principles underpin this policy:</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MACS schools are established primarily for Catholic children, Our Lady Star of the Sea strives to be open and welcome to all Catholic students regardless of their background and does everything reasonable to accommodate each student’s individual needs.</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Enrolment of children of other Christian traditions and faiths is open; however, priority will be given to children from non-Catholic Eastern churches. </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Children from other religious traditions, or no religion, are provided with the opportunity to enrol at our school should they choose to apply and there is sufficient capacity within the school.</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Parents/guardians/carers are the first educators of their children. By enrolling a child in our school, parents/guardians/carers are entering into a partnership to promote and support their child’s education, in particular their education in faith. While the school promotes access to a Catholic education through the school enrolment policy, it is the responsibility of parents/guardians/carers to support the school in furthering the spiritual and academic life of their child.</w:t>
      </w:r>
    </w:p>
    <w:p w:rsidR="00000000" w:rsidDel="00000000" w:rsidP="00000000" w:rsidRDefault="00000000" w:rsidRPr="00000000" w14:paraId="00000016">
      <w:pPr>
        <w:pStyle w:val="Heading2"/>
        <w:rPr/>
      </w:pPr>
      <w:r w:rsidDel="00000000" w:rsidR="00000000" w:rsidRPr="00000000">
        <w:rPr>
          <w:rtl w:val="0"/>
        </w:rPr>
        <w:t xml:space="preserve">Policy </w:t>
      </w:r>
    </w:p>
    <w:p w:rsidR="00000000" w:rsidDel="00000000" w:rsidP="00000000" w:rsidRDefault="00000000" w:rsidRPr="00000000" w14:paraId="00000017">
      <w:pPr>
        <w:pStyle w:val="Heading3"/>
        <w:rPr/>
      </w:pPr>
      <w:r w:rsidDel="00000000" w:rsidR="00000000" w:rsidRPr="00000000">
        <w:rPr>
          <w:rtl w:val="0"/>
        </w:rPr>
        <w:t xml:space="preserve">Priority enrolment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Local pastoral discretion is an important element of decision-making regarding enrolment at Our Lady Star of the Sea. While the priority of the principal is to enrol children of Catholic parents/guardians/carers, pastoral discretion may be exercised in enrolment decisions where deemed appropriate.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Where established, the local school enrolment committee will formally endorse all enrolment decisions to ensure transparency and equity in decision-making. Where a local school enrolment committee is not established, the principal will endorse all enrolment decisions.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There is an agreed order of priority for enrolment in MACS schools, which must be followed in the enrolment policy and procedures. As systemic Catholic schools, the priority of MACS schools is the provision of a Catholic education for Catholic children.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order of priority for MACS primary schools is:</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Catholic children who are residents of the parish</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siblings of children already enrolled in the school</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Catholic children who are not residents of the parish but are recognised as parishioners by the parish priest</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Catholic children from other parishes (for pastoral reasons)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children from non-Catholic Eastern churches (i.e. Greek Orthodox, Coptic Orthodox, Ukrainian Orthodox, Russian Orthodox, Serbian Orthodox and other Orthodox) who are residents of the parish</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children from non-Catholic Eastern churches (i.e. Greek Orthodox, Coptic Orthodox, Ukrainian Orthodox, Russian Orthodox, Serbian Orthodox and other Orthodox) who reside outside the parish</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other Christian children who are residents of the parish</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other Christian children who reside outside the parish</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non-Christian children who are residents of the parish</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425" w:right="0" w:hanging="425"/>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non-Christian children who reside outside the parish.</w:t>
      </w:r>
    </w:p>
    <w:p w:rsidR="00000000" w:rsidDel="00000000" w:rsidP="00000000" w:rsidRDefault="00000000" w:rsidRPr="00000000" w14:paraId="00000026">
      <w:pPr>
        <w:pStyle w:val="Heading4"/>
        <w:rPr/>
      </w:pPr>
      <w:bookmarkStart w:colFirst="0" w:colLast="0" w:name="_30j0zll" w:id="1"/>
      <w:bookmarkEnd w:id="1"/>
      <w:r w:rsidDel="00000000" w:rsidR="00000000" w:rsidRPr="00000000">
        <w:rPr>
          <w:rtl w:val="0"/>
        </w:rPr>
        <w:t xml:space="preserve">Overseas Students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When considering the enrolment of students on visa, principal of [insert school name] will consider the application with reference to MACS policy and procedures as well as legislative requirements. The principal or delegate is to determine whether the student is fee-liable or eligible for government funding through outlined processes.</w:t>
      </w:r>
    </w:p>
    <w:p w:rsidR="00000000" w:rsidDel="00000000" w:rsidP="00000000" w:rsidRDefault="00000000" w:rsidRPr="00000000" w14:paraId="00000028">
      <w:pPr>
        <w:pStyle w:val="Heading3"/>
        <w:rPr/>
      </w:pPr>
      <w:r w:rsidDel="00000000" w:rsidR="00000000" w:rsidRPr="00000000">
        <w:rPr>
          <w:rtl w:val="0"/>
        </w:rPr>
        <w:t xml:space="preserve">Parent/Guardian/Carer Responsibilities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At the time of enrolment, parents/guardians/carers make a commitment to provide ongoing support for their child’s Catholic education. Parents/guardians/carers are asked to make an explicit commitment to the following responsibilities:</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bookmarkStart w:colFirst="0" w:colLast="0" w:name="_1fob9te" w:id="2"/>
      <w:bookmarkEnd w:id="2"/>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Complete the school’s enrolment form and ensure it is returned by the due date. This does not guarantee enrolment in the school, which is confirmed following the signing of the enrolment agreement as formal acceptance of the offer of enrolment.</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Be prepared to support the school in the Catholic education of their child and involve themselves as much as possible as well as committing to adhering to the expected standards of parental/guardian/carer behaviour as outlined in the school’s Parent/Guardian/Carer Code of Conduct.</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Acknowledge and commit to meeting the financial responsibilities arising from the ongoing enrolment of their child at Our Lady Star of the Sea. Any difficulties in meeting this commitment should be discussed with the principal.</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Advise the principal of any court order, parenting or custodial arrangement/s that may exist in relation to their child, or any changes to such order/s, and provide a copy of the court order/s and any subsequent changes for the child’s school file.</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bookmarkStart w:colFirst="0" w:colLast="0" w:name="_3znysh7" w:id="3"/>
      <w:bookmarkEnd w:id="3"/>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Provide the school with an immunisation history statement from the Australian Immunisation Register.</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bookmarkStart w:colFirst="0" w:colLast="0" w:name="_2et92p0" w:id="4"/>
      <w:bookmarkEnd w:id="4"/>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Provide evidence of visa status from the Department of Home Affairs as soon as notified where applicable.</w:t>
      </w:r>
    </w:p>
    <w:p w:rsidR="00000000" w:rsidDel="00000000" w:rsidP="00000000" w:rsidRDefault="00000000" w:rsidRPr="00000000" w14:paraId="00000030">
      <w:pPr>
        <w:pStyle w:val="Heading3"/>
        <w:keepNext w:val="1"/>
        <w:rPr/>
      </w:pPr>
      <w:bookmarkStart w:colFirst="0" w:colLast="0" w:name="_tyjcwt" w:id="5"/>
      <w:bookmarkEnd w:id="5"/>
      <w:r w:rsidDel="00000000" w:rsidR="00000000" w:rsidRPr="00000000">
        <w:rPr>
          <w:rtl w:val="0"/>
        </w:rPr>
        <w:t xml:space="preserve">Termination of enrolment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3dy6vkm" w:id="6"/>
      <w:bookmarkEnd w:id="6"/>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Parents/guardians/carers are, as a condition of enrolment, expected to read, sign, and comply with the [insert school name] Enrolment Agreement , Our Lady Star of the Sea Parent/Guardian/Carer Code of Conduct (</w:t>
      </w: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Code of Conduct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and/or relevant school policies.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1t3h5sf" w:id="7"/>
      <w:bookmarkEnd w:id="7"/>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Parents/guardians/carers who breach the Code, Agreement, and/or policies will be contacted by the principal. Appropriate action, which may include limiting or reducing access to the school grounds, attending school functions or school-based activities or, setting mandatory parameters around methods and timing of communication, or imposing an Immediate or Ongoing School Community Safety Order is at the discretion of the principal and other authorised persons.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4d34og8" w:id="8"/>
      <w:bookmarkEnd w:id="8"/>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 termination of enrolment on the basis of parental/guardian/carer conduct must be approved by the Director, Learning and Regional Services, and such approval would only be provided in the following circumstances: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000"/>
        </w:tabs>
        <w:spacing w:after="60" w:before="60" w:line="240" w:lineRule="auto"/>
        <w:ind w:left="720" w:right="0" w:hanging="360"/>
        <w:jc w:val="left"/>
        <w:rPr>
          <w:b w:val="0"/>
          <w:i w:val="0"/>
          <w:smallCaps w:val="0"/>
          <w:strike w:val="0"/>
          <w:color w:val="262626"/>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 breach of the Code of Conduct on the part of a parent/guardian/carer has previously occurred</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000"/>
        </w:tabs>
        <w:spacing w:after="60" w:before="60" w:line="240" w:lineRule="auto"/>
        <w:ind w:left="720" w:right="0" w:hanging="360"/>
        <w:jc w:val="left"/>
        <w:rPr>
          <w:b w:val="0"/>
          <w:i w:val="0"/>
          <w:smallCaps w:val="0"/>
          <w:strike w:val="0"/>
          <w:color w:val="262626"/>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parent/guardian/carer has, because of that previous breach, been warned that any subsequent breach of the Code of Conduct by them (or the family) may result in a termination of enrolment</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000"/>
        </w:tabs>
        <w:spacing w:after="60" w:before="60" w:line="240" w:lineRule="auto"/>
        <w:ind w:left="720" w:right="0" w:hanging="360"/>
        <w:jc w:val="left"/>
        <w:rPr>
          <w:b w:val="0"/>
          <w:i w:val="0"/>
          <w:smallCaps w:val="0"/>
          <w:strike w:val="0"/>
          <w:color w:val="262626"/>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 further breach of the Code of Conduct by the parent / guardian / carer, or by another family member in appropriate circumstances (including where the principal is satisfied on reasonable grounds that that other family member has been warned or is otherwise aware that a warning has previously been given) occurs.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0"/>
        </w:tabs>
        <w:spacing w:after="6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 termination of enrolment may also occur where any parent/guardian/carer has engaged in conduct on a single occasion which constitutes a serious breach of the Parent / Guardian / Carer Code of Conduct (involving for example, conduct which poses a serious risk to staff or student health and safety.) In these circumstances, it will not be necessary for a warning to be given before consideration is given to termination of enrolment.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2s8eyo1" w:id="9"/>
      <w:bookmarkEnd w:id="9"/>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 decision to withdraw or terminate the enrolment of a student in these circumstances may only be made by the Director, Learning and Regional Services upon consideration of each of the following:</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bookmarkStart w:colFirst="0" w:colLast="0" w:name="_17dp8vu" w:id="10"/>
      <w:bookmarkEnd w:id="10"/>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view of the principal of the school</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bookmarkStart w:colFirst="0" w:colLast="0" w:name="_3rdcrjn" w:id="11"/>
      <w:bookmarkEnd w:id="11"/>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an objective assessment of all presenting circumstances, including the nature and gravity of the conduct and whether any previous warnings have been provided to the parent/guardian/carer and </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60" w:line="240" w:lineRule="auto"/>
        <w:ind w:left="357" w:right="0" w:hanging="357"/>
        <w:jc w:val="left"/>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principles of procedural fairness are followed in the decision-making process, including an opportunity for the student and their family/guardians/carers to be heard, all relevant information considered.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0"/>
        </w:tabs>
        <w:spacing w:after="200" w:before="60" w:line="240" w:lineRule="auto"/>
        <w:ind w:left="0" w:right="0" w:firstLine="0"/>
        <w:jc w:val="left"/>
        <w:rPr>
          <w:rFonts w:ascii="Arial" w:cs="Arial" w:eastAsia="Arial" w:hAnsi="Arial"/>
          <w:b w:val="0"/>
          <w:i w:val="0"/>
          <w:smallCaps w:val="0"/>
          <w:strike w:val="0"/>
          <w:color w:val="262626"/>
          <w:sz w:val="22"/>
          <w:szCs w:val="22"/>
          <w:u w:val="none"/>
          <w:shd w:fill="auto" w:val="clear"/>
          <w:vertAlign w:val="baseline"/>
        </w:rPr>
      </w:pPr>
      <w:bookmarkStart w:colFirst="0" w:colLast="0" w:name="_26in1rg" w:id="12"/>
      <w:bookmarkEnd w:id="12"/>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Before any final decision as to termination of enrolment is made, the student’s family will be provided with an opportunity to comment on and/or provide any relevant information for consideration in this regard</w:t>
      </w:r>
      <w:r w:rsidDel="00000000" w:rsidR="00000000" w:rsidRPr="00000000">
        <w:rPr>
          <w:rFonts w:ascii="Arial" w:cs="Arial" w:eastAsia="Arial" w:hAnsi="Arial"/>
          <w:b w:val="0"/>
          <w:i w:val="0"/>
          <w:smallCaps w:val="0"/>
          <w:strike w:val="0"/>
          <w:color w:val="262626"/>
          <w:sz w:val="22"/>
          <w:szCs w:val="22"/>
          <w:u w:val="none"/>
          <w:shd w:fill="auto" w:val="clear"/>
          <w:vertAlign w:val="baseline"/>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0"/>
        </w:tabs>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Students are also, as a condition of enrolment, expected to read and comply with [insert school name] Student Code of Conduct (</w:t>
      </w: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Code of Conduct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In cases of serious and/or persistent breaches of the student code of conduct, the Student Behaviour Policy</w:t>
      </w: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outlines the consequences for student misbehaviour. The Our Lady Star of the Sea policies and procedures for the suspension, negotiated transfer, and expulsion of students outline the management of suspension and expulsion and appeals processes.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In accordance with applicable legislation and the school’s Child Safety and Wellbeing Policy, the police, ‘Families and Children’s Services’ within the Department of Families, Fairness and Housing (DFFH), Commission for Children and Young People (CCYP), and/or any other relevant bodies will be informed of any unlawful breaches of these codes.</w:t>
      </w:r>
    </w:p>
    <w:p w:rsidR="00000000" w:rsidDel="00000000" w:rsidP="00000000" w:rsidRDefault="00000000" w:rsidRPr="00000000" w14:paraId="00000041">
      <w:pPr>
        <w:pStyle w:val="Heading3"/>
        <w:rPr/>
      </w:pPr>
      <w:r w:rsidDel="00000000" w:rsidR="00000000" w:rsidRPr="00000000">
        <w:rPr>
          <w:rtl w:val="0"/>
        </w:rPr>
        <w:t xml:space="preserve">Complaints regarding enrolment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Our Lady Star of the Sea is required to maintain a fair, effective, and efficient complaints-handling process so that complaints about enrolment and other matters at the school can be addressed.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If a parent/guardian/carer of the student would like to make an appeal on the enrolment process, or termination of enrolment, consider raising the concerns to the principal or relevant person either in writing or by making an appointment. Please ensure the relevant person/s is given a reasonable amount of time to take the steps required to resolve or address the concerns. Please refer to Our Lady Star of the Sea’s complaints handling policy or guidelines for further information. </w:t>
      </w:r>
    </w:p>
    <w:p w:rsidR="00000000" w:rsidDel="00000000" w:rsidP="00000000" w:rsidRDefault="00000000" w:rsidRPr="00000000" w14:paraId="00000044">
      <w:pPr>
        <w:pStyle w:val="Heading3"/>
        <w:rPr/>
      </w:pPr>
      <w:r w:rsidDel="00000000" w:rsidR="00000000" w:rsidRPr="00000000">
        <w:rPr>
          <w:color w:val="262626"/>
          <w:sz w:val="20"/>
          <w:szCs w:val="20"/>
          <w:rtl w:val="0"/>
        </w:rPr>
        <w:t xml:space="preserve">If the matter cannot be resolved at the school level, or if the complaint is about the principal of the school, complainants are advised to contact the relevant MACS regional office. Alternatively, parents/guardians/carers may lodge a complaint online and read the Complaint Handling Policy for MACS Schools at </w:t>
      </w:r>
      <w:hyperlink r:id="rId10">
        <w:r w:rsidDel="00000000" w:rsidR="00000000" w:rsidRPr="00000000">
          <w:rPr>
            <w:color w:val="067aee"/>
            <w:sz w:val="20"/>
            <w:szCs w:val="20"/>
            <w:u w:val="single"/>
            <w:rtl w:val="0"/>
          </w:rPr>
          <w:t xml:space="preserve">https://www.macs.vic.edu.au/Contact-Us/Complaints.aspx</w:t>
        </w:r>
      </w:hyperlink>
      <w:r w:rsidDel="00000000" w:rsidR="00000000" w:rsidRPr="00000000">
        <w:rPr>
          <w:sz w:val="20"/>
          <w:szCs w:val="20"/>
          <w:rtl w:val="0"/>
        </w:rPr>
        <w:t xml:space="preserve">. </w:t>
      </w:r>
      <w:r w:rsidDel="00000000" w:rsidR="00000000" w:rsidRPr="00000000">
        <w:rPr>
          <w:sz w:val="20"/>
          <w:szCs w:val="20"/>
          <w:highlight w:val="yellow"/>
          <w:rtl w:val="0"/>
        </w:rPr>
        <w:t xml:space="preserve"> </w:t>
      </w:r>
      <w:r w:rsidDel="00000000" w:rsidR="00000000" w:rsidRPr="00000000">
        <w:rPr>
          <w:rtl w:val="0"/>
        </w:rPr>
      </w:r>
    </w:p>
    <w:p w:rsidR="00000000" w:rsidDel="00000000" w:rsidP="00000000" w:rsidRDefault="00000000" w:rsidRPr="00000000" w14:paraId="00000045">
      <w:pPr>
        <w:pStyle w:val="Heading3"/>
        <w:rPr/>
      </w:pPr>
      <w:r w:rsidDel="00000000" w:rsidR="00000000" w:rsidRPr="00000000">
        <w:rPr>
          <w:rtl w:val="0"/>
        </w:rPr>
        <w:t xml:space="preserve">Information to be collected</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Our school is required to collect information about parents/guardians/carers and their child. Parents/guardians/carers are required to provide information about their child during the enrolment process in order for MACS and the school to meet the duty of care obligations and to satisfy government requirements. </w:t>
      </w:r>
    </w:p>
    <w:p w:rsidR="00000000" w:rsidDel="00000000" w:rsidP="00000000" w:rsidRDefault="00000000" w:rsidRPr="00000000" w14:paraId="00000047">
      <w:pPr>
        <w:pStyle w:val="Heading2"/>
        <w:rPr/>
      </w:pPr>
      <w:r w:rsidDel="00000000" w:rsidR="00000000" w:rsidRPr="00000000">
        <w:rPr>
          <w:rtl w:val="0"/>
        </w:rPr>
        <w:t xml:space="preserve">Procedures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Please refer to the Enrolment Procedures in MACS schools.</w:t>
      </w:r>
    </w:p>
    <w:p w:rsidR="00000000" w:rsidDel="00000000" w:rsidP="00000000" w:rsidRDefault="00000000" w:rsidRPr="00000000" w14:paraId="00000049">
      <w:pPr>
        <w:pStyle w:val="Heading4"/>
        <w:rPr>
          <w:rFonts w:ascii="Arial" w:cs="Arial" w:eastAsia="Arial" w:hAnsi="Arial"/>
          <w:b w:val="0"/>
          <w:i w:val="1"/>
          <w:smallCaps w:val="0"/>
          <w:strike w:val="0"/>
          <w:color w:val="262626"/>
          <w:sz w:val="20"/>
          <w:szCs w:val="20"/>
          <w:u w:val="none"/>
          <w:shd w:fill="auto" w:val="clear"/>
          <w:vertAlign w:val="baseline"/>
        </w:rPr>
      </w:pPr>
      <w:r w:rsidDel="00000000" w:rsidR="00000000" w:rsidRPr="00000000">
        <w:rPr>
          <w:rtl w:val="0"/>
        </w:rPr>
        <w:t xml:space="preserve">School-based processes and guidelines</w:t>
      </w: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t xml:space="preserve">Definitions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1"/>
          <w:i w:val="0"/>
          <w:smallCaps w:val="0"/>
          <w:strike w:val="0"/>
          <w:color w:val="262626"/>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Catholic child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For enrolment in a Catholic school, a child is considered to be Catholic if they are a member of the Catholic Church, usually established by a Certificate of Baptism and have fully participated in a sacramental program or, there is evidence of an intention to complete their sacramental journey.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00" w:line="240" w:lineRule="auto"/>
        <w:ind w:left="0" w:right="0" w:firstLine="0"/>
        <w:jc w:val="left"/>
        <w:rPr>
          <w:rFonts w:ascii="Arial" w:cs="Arial" w:eastAsia="Arial" w:hAnsi="Arial"/>
          <w:b w:val="1"/>
          <w:i w:val="0"/>
          <w:smallCaps w:val="0"/>
          <w:strike w:val="0"/>
          <w:color w:val="262626"/>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Enrolment Agreement and Enrolment Form</w:t>
      </w:r>
    </w:p>
    <w:bookmarkStart w:colFirst="0" w:colLast="0" w:name="lnxbz9" w:id="13"/>
    <w:bookmarkEnd w:id="13"/>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0"/>
        </w:tabs>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Enrolment Agreement and Enrolment Form are agreements parents/guardians/carers enter with MACS for enrolment at the particular MACS school. The Enrolment Agreement stipulates the terms and conditions of enrolment and the way in which the school seeks to work in collaboration with families. Schools must have an Enrolment Agreement with parents/guardians/carers which is publicly available and easily accessible to current and prospective parents/guardians/carers.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00"/>
        </w:tabs>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enrolment form outlines the information that must be collected by the principal of each school, </w:t>
        <w:br w:type="textWrapping"/>
        <w:t xml:space="preserve">to enable MACS to satisfy its duty of care obligations and ensure it has the relevant information about each student to determine any need for adjustments.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1"/>
          <w:i w:val="0"/>
          <w:smallCaps w:val="0"/>
          <w:strike w:val="0"/>
          <w:color w:val="262626"/>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Enrolment catchment area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The enrolment catchment area is a defined area from which a school enrols students as officially designated to a school by MACS. The parish for Our Lady Star of the Sea is [Parish name]. In parishes with more than one primary school, the catchment for each school is determined by the parish in consultation with MACS. Enrolment is subject to the maximum capacity of the school.</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1"/>
          <w:i w:val="0"/>
          <w:smallCaps w:val="0"/>
          <w:strike w:val="0"/>
          <w:color w:val="262626"/>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Melbourne Archdiocese Catholic Schools Ltd (MACS)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MACS is a reference to Melbourne Archdiocese Catholic Schools Ltd, and / or its subsidiaries, MACSS and/or MACSEYE (</w:t>
      </w: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as the context requires</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1"/>
          <w:i w:val="0"/>
          <w:smallCaps w:val="0"/>
          <w:strike w:val="0"/>
          <w:color w:val="262626"/>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Orthodox child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For enrolment in a Catholic school, a child is considered to be Orthodox if they are a member of a non-Catholic Eastern church, including Greek Orthodox, Coptic Orthodox, Ukrainian Orthodox, Russian Orthodox, Serbian Orthodox and other Orthodox.</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1"/>
          <w:i w:val="0"/>
          <w:smallCaps w:val="0"/>
          <w:strike w:val="0"/>
          <w:color w:val="262626"/>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Parish</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Parish refers to the local parish as defined by its geographical boundaries and student location is based on home address.</w:t>
      </w:r>
    </w:p>
    <w:p w:rsidR="00000000" w:rsidDel="00000000" w:rsidP="00000000" w:rsidRDefault="00000000" w:rsidRPr="00000000" w14:paraId="00000058">
      <w:pPr>
        <w:pStyle w:val="Heading2"/>
        <w:rPr/>
      </w:pPr>
      <w:r w:rsidDel="00000000" w:rsidR="00000000" w:rsidRPr="00000000">
        <w:rPr>
          <w:rtl w:val="0"/>
        </w:rPr>
        <w:t xml:space="preserve">Related policies and documents</w:t>
      </w:r>
    </w:p>
    <w:p w:rsidR="00000000" w:rsidDel="00000000" w:rsidP="00000000" w:rsidRDefault="00000000" w:rsidRPr="00000000" w14:paraId="00000059">
      <w:pPr>
        <w:pStyle w:val="Heading4"/>
        <w:rPr/>
      </w:pPr>
      <w:r w:rsidDel="00000000" w:rsidR="00000000" w:rsidRPr="00000000">
        <w:rPr>
          <w:rtl w:val="0"/>
        </w:rPr>
        <w:t xml:space="preserve">Supporting documents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Consent to Transfer Information Form</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Dependant Full-fee Paying Overseas Students Application Procedure - Schools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Enrolment Agreement – Primary Schools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Enrolment Form – Primary Schools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Enrolment Processes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Enrolment Procedures for MACS Schools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Family Occupation Index – Parent/Guardian/Carer Occupation Groups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Minimum Age Exemption Application Form – Template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Parents/Guardians/Carers Code of ConductPhotography and Recording Permission Form – Schools – Template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Repeating a Year Level Application Form – Template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35nkun2" w:id="14"/>
      <w:bookmarkEnd w:id="14"/>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Standard Collection Notice – Template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Student Acceleration Application Form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Student Code of Conduct </w:t>
      </w:r>
    </w:p>
    <w:p w:rsidR="00000000" w:rsidDel="00000000" w:rsidP="00000000" w:rsidRDefault="00000000" w:rsidRPr="00000000" w14:paraId="00000067">
      <w:pPr>
        <w:pStyle w:val="Heading4"/>
        <w:rPr/>
      </w:pPr>
      <w:bookmarkStart w:colFirst="0" w:colLast="0" w:name="_1ksv4uv" w:id="15"/>
      <w:bookmarkEnd w:id="15"/>
      <w:r w:rsidDel="00000000" w:rsidR="00000000" w:rsidRPr="00000000">
        <w:rPr>
          <w:rtl w:val="0"/>
        </w:rPr>
        <w:t xml:space="preserve">Related MACS policies and documents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44sinio" w:id="16"/>
      <w:bookmarkEnd w:id="16"/>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Concessional Fees Policy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[insert school] Complaints Handling Policy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Complaints Handling Policy for MACS Schools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Enrolment Policy for MACS Schools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2jxsxqh" w:id="17"/>
      <w:bookmarkEnd w:id="17"/>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Guidelines for MACS Schools – Suspension, Negotiated Transfer, and Expulsion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Privacy Policy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Recordkeeping Policy for MACS Schools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563c1"/>
          <w:sz w:val="20"/>
          <w:szCs w:val="20"/>
          <w:u w:val="single"/>
          <w:shd w:fill="auto" w:val="clear"/>
          <w:vertAlign w:val="baseline"/>
        </w:rPr>
      </w:pPr>
      <w:hyperlink r:id="rId1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School Community Safety Order Scheme – Internal Review Process</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262626"/>
          <w:sz w:val="20"/>
          <w:szCs w:val="20"/>
          <w:highlight w:val="white"/>
          <w:u w:val="none"/>
          <w:vertAlign w:val="baseline"/>
        </w:rPr>
      </w:pPr>
      <w:hyperlink r:id="rId12">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School Suspension of Students Policy</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hyperlink r:id="rId13">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School Negotiated Transfer of Students Policy</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hyperlink r:id="rId14">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School Expulsion of Students Policy</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Student Acceleration and Retention Policy for MACS Schools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Student Acceleration and Retention Policy – Template for Schools </w:t>
      </w:r>
    </w:p>
    <w:p w:rsidR="00000000" w:rsidDel="00000000" w:rsidP="00000000" w:rsidRDefault="00000000" w:rsidRPr="00000000" w14:paraId="00000075">
      <w:pPr>
        <w:pStyle w:val="Heading4"/>
        <w:rPr>
          <w:b w:val="1"/>
        </w:rPr>
      </w:pPr>
      <w:bookmarkStart w:colFirst="0" w:colLast="0" w:name="_z337ya" w:id="18"/>
      <w:bookmarkEnd w:id="18"/>
      <w:r w:rsidDel="00000000" w:rsidR="00000000" w:rsidRPr="00000000">
        <w:rPr>
          <w:b w:val="1"/>
          <w:rtl w:val="0"/>
        </w:rPr>
        <w:t xml:space="preserve">Related policies and documents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hyperlink r:id="rId15">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Australian Government - Interstate Data Transfer Note</w:t>
        </w:r>
      </w:hyperlink>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for non- government schools </w:t>
      </w:r>
    </w:p>
    <w:p w:rsidR="00000000" w:rsidDel="00000000" w:rsidP="00000000" w:rsidRDefault="00000000" w:rsidRPr="00000000" w14:paraId="00000077">
      <w:pPr>
        <w:pStyle w:val="Heading2"/>
        <w:rPr/>
      </w:pPr>
      <w:r w:rsidDel="00000000" w:rsidR="00000000" w:rsidRPr="00000000">
        <w:rPr>
          <w:rtl w:val="0"/>
        </w:rPr>
        <w:t xml:space="preserve">Legislation and Standards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3j2qqm3" w:id="19"/>
      <w:bookmarkEnd w:id="19"/>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Child Wellbeing and Safety Act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2005 (Cth)</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Disability Discrimination Act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1992 (Cth)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Disability Standards for Education </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2005 (Cth)</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Education and Training Reform Act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2006 (Vic.)</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Education and Training Reform Regulations</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2017 (Vic.)</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Education Services for Overseas Student Act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2000 (Cth)</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Equal Opportunity Act</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2010 (Vic.)</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r w:rsidDel="00000000" w:rsidR="00000000" w:rsidRPr="00000000">
        <w:rPr>
          <w:rFonts w:ascii="Arial" w:cs="Arial" w:eastAsia="Arial" w:hAnsi="Arial"/>
          <w:b w:val="0"/>
          <w:i w:val="1"/>
          <w:smallCaps w:val="0"/>
          <w:strike w:val="0"/>
          <w:color w:val="262626"/>
          <w:sz w:val="20"/>
          <w:szCs w:val="20"/>
          <w:u w:val="none"/>
          <w:shd w:fill="auto" w:val="clear"/>
          <w:vertAlign w:val="baseline"/>
          <w:rtl w:val="0"/>
        </w:rPr>
        <w:t xml:space="preserve">Privacy Act </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1988 (Cth)</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hyperlink r:id="rId16">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Victorian Registration and Qualifications Authority (VRQA) minimum standards</w:t>
        </w:r>
      </w:hyperlink>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for schools</w:t>
      </w:r>
    </w:p>
    <w:tbl>
      <w:tblPr>
        <w:tblStyle w:val="Table1"/>
        <w:tblW w:w="8789.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127"/>
        <w:gridCol w:w="6662"/>
        <w:tblGridChange w:id="0">
          <w:tblGrid>
            <w:gridCol w:w="2127"/>
            <w:gridCol w:w="6662"/>
          </w:tblGrid>
        </w:tblGridChange>
      </w:tblGrid>
      <w:tr>
        <w:trPr>
          <w:cantSplit w:val="0"/>
          <w:trHeight w:val="147" w:hRule="atLeast"/>
          <w:tblHeader w:val="0"/>
        </w:trPr>
        <w:tc>
          <w:tcPr/>
          <w:p w:rsidR="00000000" w:rsidDel="00000000" w:rsidP="00000000" w:rsidRDefault="00000000" w:rsidRPr="00000000" w14:paraId="00000081">
            <w:pPr>
              <w:widowControl w:val="0"/>
              <w:tabs>
                <w:tab w:val="left" w:leader="none" w:pos="142"/>
                <w:tab w:val="left" w:leader="none" w:pos="227"/>
              </w:tabs>
              <w:spacing w:after="28" w:before="28" w:lineRule="auto"/>
              <w:rPr>
                <w:rFonts w:ascii="Arial" w:cs="Arial" w:eastAsia="Arial" w:hAnsi="Arial"/>
                <w:b w:val="0"/>
                <w:color w:val="595959"/>
                <w:sz w:val="16"/>
                <w:szCs w:val="16"/>
              </w:rPr>
            </w:pPr>
            <w:r w:rsidDel="00000000" w:rsidR="00000000" w:rsidRPr="00000000">
              <w:rPr>
                <w:rFonts w:ascii="Arial" w:cs="Arial" w:eastAsia="Arial" w:hAnsi="Arial"/>
                <w:color w:val="595959"/>
                <w:sz w:val="16"/>
                <w:szCs w:val="16"/>
                <w:rtl w:val="0"/>
              </w:rPr>
              <w:t xml:space="preserve">Approval date</w:t>
            </w:r>
            <w:r w:rsidDel="00000000" w:rsidR="00000000" w:rsidRPr="00000000">
              <w:rPr>
                <w:rtl w:val="0"/>
              </w:rPr>
            </w:r>
          </w:p>
        </w:tc>
        <w:tc>
          <w:tcPr/>
          <w:p w:rsidR="00000000" w:rsidDel="00000000" w:rsidP="00000000" w:rsidRDefault="00000000" w:rsidRPr="00000000" w14:paraId="00000082">
            <w:pPr>
              <w:widowControl w:val="0"/>
              <w:tabs>
                <w:tab w:val="left" w:leader="none" w:pos="142"/>
                <w:tab w:val="left" w:leader="none" w:pos="227"/>
              </w:tabs>
              <w:spacing w:after="28" w:before="28" w:lineRule="auto"/>
              <w:rPr>
                <w:rFonts w:ascii="Arial" w:cs="Arial" w:eastAsia="Arial" w:hAnsi="Arial"/>
                <w:b w:val="0"/>
                <w:color w:val="595959"/>
                <w:sz w:val="16"/>
                <w:szCs w:val="16"/>
              </w:rPr>
            </w:pPr>
            <w:r w:rsidDel="00000000" w:rsidR="00000000" w:rsidRPr="00000000">
              <w:rPr>
                <w:rFonts w:ascii="Arial" w:cs="Arial" w:eastAsia="Arial" w:hAnsi="Arial"/>
                <w:color w:val="595959"/>
                <w:sz w:val="16"/>
                <w:szCs w:val="16"/>
                <w:rtl w:val="0"/>
              </w:rPr>
              <w:t xml:space="preserve">10 May 2023</w:t>
            </w: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083">
            <w:pPr>
              <w:widowControl w:val="0"/>
              <w:tabs>
                <w:tab w:val="left" w:leader="none" w:pos="142"/>
                <w:tab w:val="left" w:leader="none" w:pos="227"/>
              </w:tabs>
              <w:spacing w:after="28" w:before="28" w:lineRule="auto"/>
              <w:rPr>
                <w:rFonts w:ascii="Arial" w:cs="Arial" w:eastAsia="Arial" w:hAnsi="Arial"/>
                <w:b w:val="0"/>
                <w:color w:val="595959"/>
                <w:sz w:val="16"/>
                <w:szCs w:val="16"/>
              </w:rPr>
            </w:pPr>
            <w:r w:rsidDel="00000000" w:rsidR="00000000" w:rsidRPr="00000000">
              <w:rPr>
                <w:rFonts w:ascii="Arial" w:cs="Arial" w:eastAsia="Arial" w:hAnsi="Arial"/>
                <w:color w:val="595959"/>
                <w:sz w:val="16"/>
                <w:szCs w:val="16"/>
                <w:rtl w:val="0"/>
              </w:rPr>
              <w:t xml:space="preserve">Date of next review</w:t>
            </w:r>
            <w:r w:rsidDel="00000000" w:rsidR="00000000" w:rsidRPr="00000000">
              <w:rPr>
                <w:rtl w:val="0"/>
              </w:rPr>
            </w:r>
          </w:p>
        </w:tc>
        <w:tc>
          <w:tcPr/>
          <w:p w:rsidR="00000000" w:rsidDel="00000000" w:rsidP="00000000" w:rsidRDefault="00000000" w:rsidRPr="00000000" w14:paraId="00000084">
            <w:pPr>
              <w:widowControl w:val="0"/>
              <w:tabs>
                <w:tab w:val="left" w:leader="none" w:pos="142"/>
                <w:tab w:val="left" w:leader="none" w:pos="227"/>
                <w:tab w:val="left" w:leader="none" w:pos="1185"/>
              </w:tabs>
              <w:spacing w:after="28" w:before="28" w:lineRule="auto"/>
              <w:rPr>
                <w:rFonts w:ascii="Arial" w:cs="Arial" w:eastAsia="Arial" w:hAnsi="Arial"/>
                <w:color w:val="595959"/>
                <w:sz w:val="16"/>
                <w:szCs w:val="16"/>
              </w:rPr>
            </w:pPr>
            <w:r w:rsidDel="00000000" w:rsidR="00000000" w:rsidRPr="00000000">
              <w:rPr>
                <w:rFonts w:ascii="Arial" w:cs="Arial" w:eastAsia="Arial" w:hAnsi="Arial"/>
                <w:color w:val="595959"/>
                <w:sz w:val="16"/>
                <w:szCs w:val="16"/>
                <w:rtl w:val="0"/>
              </w:rPr>
              <w:t xml:space="preserve">May 2025</w:t>
              <w:tab/>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60" w:line="240" w:lineRule="auto"/>
        <w:ind w:left="0" w:right="0" w:firstLine="0"/>
        <w:jc w:val="left"/>
        <w:rPr>
          <w:rFonts w:ascii="Arial" w:cs="Arial" w:eastAsia="Arial" w:hAnsi="Arial"/>
          <w:b w:val="0"/>
          <w:i w:val="0"/>
          <w:smallCaps w:val="0"/>
          <w:strike w:val="0"/>
          <w:color w:val="262626"/>
          <w:sz w:val="20"/>
          <w:szCs w:val="20"/>
          <w:u w:val="none"/>
          <w:shd w:fill="auto" w:val="clear"/>
          <w:vertAlign w:val="baseline"/>
        </w:rPr>
      </w:pPr>
      <w:bookmarkStart w:colFirst="0" w:colLast="0" w:name="_1y810tw" w:id="20"/>
      <w:bookmarkEnd w:id="20"/>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851" w:top="1089" w:left="1531" w:right="153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color="d9d9d9" w:space="10" w:sz="4" w:val="single"/>
        <w:left w:space="0" w:sz="0" w:val="nil"/>
        <w:bottom w:space="0" w:sz="0" w:val="nil"/>
        <w:right w:space="0" w:sz="0" w:val="nil"/>
        <w:between w:space="0" w:sz="0" w:val="nil"/>
      </w:pBdr>
      <w:shd w:fill="auto" w:val="clear"/>
      <w:tabs>
        <w:tab w:val="center" w:leader="none" w:pos="4513"/>
        <w:tab w:val="right" w:leader="none" w:pos="9026"/>
        <w:tab w:val="right" w:leader="none" w:pos="8844"/>
      </w:tabs>
      <w:spacing w:after="0" w:before="120" w:line="240" w:lineRule="auto"/>
      <w:ind w:left="0" w:right="0" w:firstLine="0"/>
      <w:jc w:val="left"/>
      <w:rPr>
        <w:rFonts w:ascii="Arial" w:cs="Arial" w:eastAsia="Arial" w:hAnsi="Arial"/>
        <w:b w:val="1"/>
        <w:i w:val="0"/>
        <w:smallCaps w:val="0"/>
        <w:strike w:val="0"/>
        <w:color w:val="0b223e"/>
        <w:sz w:val="16"/>
        <w:szCs w:val="16"/>
        <w:u w:val="none"/>
        <w:shd w:fill="auto" w:val="clear"/>
        <w:vertAlign w:val="baseline"/>
      </w:rPr>
    </w:pPr>
    <w:r w:rsidDel="00000000" w:rsidR="00000000" w:rsidRPr="00000000">
      <w:rPr>
        <w:rFonts w:ascii="Arial" w:cs="Arial" w:eastAsia="Arial" w:hAnsi="Arial"/>
        <w:b w:val="1"/>
        <w:i w:val="0"/>
        <w:smallCaps w:val="0"/>
        <w:strike w:val="0"/>
        <w:color w:val="595959"/>
        <w:sz w:val="16"/>
        <w:szCs w:val="16"/>
        <w:u w:val="none"/>
        <w:shd w:fill="auto" w:val="clear"/>
        <w:vertAlign w:val="baseline"/>
        <w:rtl w:val="0"/>
      </w:rPr>
      <w:t xml:space="preserve">D21/27136 Enrolment Policy – School Template – Primary Schools – v2.0 – [May 2023]</w:t>
    </w:r>
    <w:r w:rsidDel="00000000" w:rsidR="00000000" w:rsidRPr="00000000">
      <w:rPr>
        <w:rFonts w:ascii="Arial" w:cs="Arial" w:eastAsia="Arial" w:hAnsi="Arial"/>
        <w:b w:val="0"/>
        <w:i w:val="0"/>
        <w:smallCaps w:val="0"/>
        <w:strike w:val="0"/>
        <w:color w:val="0b223e"/>
        <w:sz w:val="16"/>
        <w:szCs w:val="16"/>
        <w:u w:val="none"/>
        <w:shd w:fill="auto" w:val="clear"/>
        <w:vertAlign w:val="baseline"/>
        <w:rtl w:val="0"/>
      </w:rPr>
      <w:tab/>
      <w:t xml:space="preserve"> Page </w:t>
    </w:r>
    <w:r w:rsidDel="00000000" w:rsidR="00000000" w:rsidRPr="00000000">
      <w:rPr>
        <w:rFonts w:ascii="Arial" w:cs="Arial" w:eastAsia="Arial" w:hAnsi="Arial"/>
        <w:b w:val="0"/>
        <w:i w:val="0"/>
        <w:smallCaps w:val="0"/>
        <w:strike w:val="0"/>
        <w:color w:val="0b223e"/>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200" w:lineRule="auto"/>
    </w:pPr>
    <w:rPr>
      <w:rFonts w:ascii="Arial" w:cs="Arial" w:eastAsia="Arial" w:hAnsi="Arial"/>
      <w:color w:val="0b223e"/>
      <w:sz w:val="36"/>
      <w:szCs w:val="36"/>
    </w:rPr>
  </w:style>
  <w:style w:type="paragraph" w:styleId="Heading2">
    <w:name w:val="heading 2"/>
    <w:basedOn w:val="Normal"/>
    <w:next w:val="Normal"/>
    <w:pPr>
      <w:keepNext w:val="1"/>
      <w:keepLines w:val="1"/>
      <w:spacing w:after="60" w:before="200" w:lineRule="auto"/>
    </w:pPr>
    <w:rPr>
      <w:rFonts w:ascii="Arial" w:cs="Arial" w:eastAsia="Arial" w:hAnsi="Arial"/>
      <w:color w:val="0b223e"/>
      <w:sz w:val="32"/>
      <w:szCs w:val="32"/>
    </w:rPr>
  </w:style>
  <w:style w:type="paragraph" w:styleId="Heading3">
    <w:name w:val="heading 3"/>
    <w:basedOn w:val="Normal"/>
    <w:next w:val="Normal"/>
    <w:pPr>
      <w:spacing w:after="60" w:before="200" w:lineRule="auto"/>
    </w:pPr>
    <w:rPr>
      <w:rFonts w:ascii="Arial" w:cs="Arial" w:eastAsia="Arial" w:hAnsi="Arial"/>
      <w:color w:val="00adea"/>
      <w:sz w:val="28"/>
      <w:szCs w:val="28"/>
    </w:rPr>
  </w:style>
  <w:style w:type="paragraph" w:styleId="Heading4">
    <w:name w:val="heading 4"/>
    <w:basedOn w:val="Normal"/>
    <w:next w:val="Normal"/>
    <w:pPr>
      <w:spacing w:after="60" w:before="200" w:lineRule="auto"/>
    </w:pPr>
    <w:rPr>
      <w:rFonts w:ascii="Arial" w:cs="Arial" w:eastAsia="Arial" w:hAnsi="Arial"/>
      <w:b w:val="1"/>
      <w:color w:val="262626"/>
      <w:sz w:val="22"/>
      <w:szCs w:val="22"/>
    </w:rPr>
  </w:style>
  <w:style w:type="paragraph" w:styleId="Heading5">
    <w:name w:val="heading 5"/>
    <w:basedOn w:val="Normal"/>
    <w:next w:val="Normal"/>
    <w:pPr>
      <w:keepNext w:val="1"/>
      <w:keepLines w:val="1"/>
      <w:spacing w:after="60" w:before="200" w:lineRule="auto"/>
    </w:pPr>
    <w:rPr>
      <w:rFonts w:ascii="Arial" w:cs="Arial" w:eastAsia="Arial" w:hAnsi="Arial"/>
      <w:b w:val="1"/>
      <w:i w:val="1"/>
      <w:color w:val="262626"/>
      <w:sz w:val="21"/>
      <w:szCs w:val="2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Arial" w:cs="Arial" w:eastAsia="Arial" w:hAnsi="Arial"/>
      <w:color w:val="262626"/>
      <w:sz w:val="20"/>
      <w:szCs w:val="20"/>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cevn.cecv.catholic.edu.au/Melb/Document-File/Compliance/Policies/MACS-Policies/complaints/SCSO-Review-Process.docx" TargetMode="External"/><Relationship Id="rId22" Type="http://schemas.openxmlformats.org/officeDocument/2006/relationships/footer" Target="footer1.xml"/><Relationship Id="rId10" Type="http://schemas.openxmlformats.org/officeDocument/2006/relationships/hyperlink" Target="https://www.macs.vic.edu.au/Contact-Us/Complaints.aspx" TargetMode="External"/><Relationship Id="rId21" Type="http://schemas.openxmlformats.org/officeDocument/2006/relationships/footer" Target="footer2.xml"/><Relationship Id="rId13" Type="http://schemas.openxmlformats.org/officeDocument/2006/relationships/hyperlink" Target="https://cevn.cecv.catholic.edu.au/Melb/Document-File/Compliance/Policies/MACS-Policies/SNTE/Suspension/Suspension-of-Students-Policy.docx" TargetMode="External"/><Relationship Id="rId12" Type="http://schemas.openxmlformats.org/officeDocument/2006/relationships/hyperlink" Target="https://cevn.cecv.catholic.edu.au/Melb/Document-File/Compliance/Policies/MACS-Policies/SNTE/Suspension/Suspension-of-Students-Policy.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dese.gov.au/collections/interstate-student-data-transfer-note-and-protocol-non-government-schools" TargetMode="External"/><Relationship Id="rId14" Type="http://schemas.openxmlformats.org/officeDocument/2006/relationships/hyperlink" Target="https://cevn.cecv.catholic.edu.au/Melb/Document-File/Compliance/Policies/MACS-Policies/SNTE/Suspension/Suspension-of-Students-Policy.docx" TargetMode="External"/><Relationship Id="rId17" Type="http://schemas.openxmlformats.org/officeDocument/2006/relationships/header" Target="header1.xml"/><Relationship Id="rId16" Type="http://schemas.openxmlformats.org/officeDocument/2006/relationships/hyperlink" Target="https://www.vrqa.vic.gov.au/schools/Pages/standards-guidelines-requirements-for-schools.aspx"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4.png"/><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